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7E" w:rsidRDefault="005D5C7E" w:rsidP="005D5C7E">
      <w:pPr>
        <w:pStyle w:val="Centre"/>
      </w:pPr>
      <w:r>
        <w:t xml:space="preserve">EXHIBIT 1 — ACCREDITED INVESTOR CERTIFICATE </w:t>
      </w:r>
    </w:p>
    <w:p w:rsidR="005D5C7E" w:rsidRDefault="005D5C7E" w:rsidP="005D5C7E">
      <w:pPr>
        <w:pStyle w:val="Centre"/>
      </w:pPr>
      <w:r>
        <w:t>ACCREDITED INVESTORS</w:t>
      </w:r>
    </w:p>
    <w:p w:rsidR="005D5C7E" w:rsidRPr="00B3292C" w:rsidRDefault="005D5C7E" w:rsidP="005D5C7E">
      <w:pPr>
        <w:rPr>
          <w:rStyle w:val="Bold"/>
        </w:rPr>
      </w:pPr>
      <w:r w:rsidRPr="00B3292C">
        <w:rPr>
          <w:rStyle w:val="Bold"/>
        </w:rPr>
        <w:t xml:space="preserve">TO: </w:t>
      </w:r>
      <w:r w:rsidRPr="00B3292C">
        <w:rPr>
          <w:rStyle w:val="Bold"/>
        </w:rPr>
        <w:tab/>
      </w:r>
      <w:r>
        <w:rPr>
          <w:rStyle w:val="Bold"/>
        </w:rPr>
        <w:t xml:space="preserve">MORTGAGE COMPANY OF CANADA INC. </w:t>
      </w:r>
      <w:r w:rsidRPr="00B3292C">
        <w:rPr>
          <w:rStyle w:val="Bold"/>
        </w:rPr>
        <w:t xml:space="preserve">(the “Company”) </w:t>
      </w:r>
    </w:p>
    <w:p w:rsidR="005D5C7E" w:rsidRDefault="005D5C7E" w:rsidP="005D5C7E">
      <w:pPr>
        <w:rPr>
          <w:rStyle w:val="Bold"/>
        </w:rPr>
      </w:pPr>
      <w:r w:rsidRPr="00B3292C">
        <w:rPr>
          <w:rStyle w:val="Bold"/>
        </w:rPr>
        <w:t xml:space="preserve">RE: </w:t>
      </w:r>
      <w:r w:rsidRPr="00B3292C">
        <w:rPr>
          <w:rStyle w:val="Bold"/>
        </w:rPr>
        <w:tab/>
      </w:r>
      <w:r>
        <w:rPr>
          <w:rStyle w:val="Bold"/>
        </w:rPr>
        <w:t xml:space="preserve">PURCHASE OF COMMON SHARES </w:t>
      </w:r>
      <w:r w:rsidRPr="00B3292C">
        <w:rPr>
          <w:rStyle w:val="Bold"/>
        </w:rPr>
        <w:t>OF THE ISSUER (the “Securities”)</w:t>
      </w:r>
    </w:p>
    <w:p w:rsidR="005D5C7E" w:rsidRPr="00B3292C" w:rsidRDefault="005D5C7E" w:rsidP="005D5C7E">
      <w:pPr>
        <w:rPr>
          <w:rStyle w:val="Bold"/>
        </w:rPr>
      </w:pPr>
      <w:r>
        <w:rPr>
          <w:rStyle w:val="Bold"/>
        </w:rPr>
        <w:t>_________________________________________________________________________________</w:t>
      </w:r>
    </w:p>
    <w:p w:rsidR="005D5C7E" w:rsidRPr="00B3292C" w:rsidRDefault="005D5C7E" w:rsidP="005D5C7E">
      <w:pPr>
        <w:rPr>
          <w:rStyle w:val="Italic"/>
        </w:rPr>
      </w:pPr>
      <w:r w:rsidRPr="00B3292C">
        <w:rPr>
          <w:rStyle w:val="Italic"/>
        </w:rPr>
        <w:t>The categories listed herein contain certain specifically defined terms. If you are unsure as to the meanings of those terms, or are unsure as to the applicability of any category below, please contact your broker and/or legal advisor before completing this certificate.</w:t>
      </w:r>
    </w:p>
    <w:p w:rsidR="005D5C7E" w:rsidRDefault="005D5C7E" w:rsidP="005D5C7E">
      <w:r>
        <w:t>In connection with the purchase by the undersigned Purchaser of the Purchaser’s Securities, the Purchaser, on its own behalf and on behalf of each of the beneficial purchasers for whom the Purchaser is acting, hereby represents, warrants, covenants and certifies to the Company (and acknowledges that the Company and its counsel are relying thereon) that:</w:t>
      </w:r>
    </w:p>
    <w:p w:rsidR="005D5C7E" w:rsidRDefault="005D5C7E" w:rsidP="005D5C7E">
      <w:pPr>
        <w:pStyle w:val="GenL1"/>
        <w:numPr>
          <w:ilvl w:val="0"/>
          <w:numId w:val="2"/>
        </w:numPr>
      </w:pPr>
      <w:r>
        <w:t>the Purchaser, or each of the beneficial purcha</w:t>
      </w:r>
      <w:bookmarkStart w:id="0" w:name="_GoBack"/>
      <w:bookmarkEnd w:id="0"/>
      <w:r>
        <w:t>sers for whom the Purchaser is acting, is resident in, or otherwise subject to, the securities laws of one of the provinces of British Columbia, Alberta, Saskatchewan, Manitoba, Ontario, Quebec, Newfoundland and Labrador, Nova Scotia, New Brunswick or Prince Edward Island;</w:t>
      </w:r>
    </w:p>
    <w:p w:rsidR="005D5C7E" w:rsidRDefault="005D5C7E" w:rsidP="005D5C7E">
      <w:pPr>
        <w:pStyle w:val="GenL1"/>
      </w:pPr>
      <w:r>
        <w:t>the Purchaser, or each of the beneficial purchasers for whom the Purchaser is acting, is purchasing the Purchaser’s Securities as principal (as defined in applicable Securities Laws) for its own account and not for the benefit of any other person;</w:t>
      </w:r>
    </w:p>
    <w:p w:rsidR="005D5C7E" w:rsidRDefault="005D5C7E" w:rsidP="005D5C7E">
      <w:pPr>
        <w:pStyle w:val="GenL1"/>
      </w:pPr>
      <w:r>
        <w:t>the Purchaser, or each of the beneficial purchasers for whom the Purchaser is acting, is an “accredited investor” within the meaning of Rule 45-106 (as defined below) on the basis that the undersigned fits within the category of an “accredited investor” reproduced below beside which the undersigned has indicated the undersigned belongs to such category;</w:t>
      </w:r>
    </w:p>
    <w:p w:rsidR="005D5C7E" w:rsidRDefault="005D5C7E" w:rsidP="005D5C7E">
      <w:pPr>
        <w:pStyle w:val="GenL1"/>
      </w:pPr>
      <w:r>
        <w:t>the Purchaser has not been created and is not being used solely to purchase or hold the Shares as an accredited investor described in paragraph (m) of the definition of “accredited investor” in Rule 45¬106, as set out below at item (m); and</w:t>
      </w:r>
    </w:p>
    <w:p w:rsidR="005D5C7E" w:rsidRDefault="005D5C7E" w:rsidP="005D5C7E">
      <w:pPr>
        <w:pStyle w:val="GenL1"/>
      </w:pPr>
      <w:proofErr w:type="gramStart"/>
      <w:r>
        <w:t>upon</w:t>
      </w:r>
      <w:proofErr w:type="gramEnd"/>
      <w:r>
        <w:t xml:space="preserve"> execution of this Exhibit 1 by the Purchaser, this Exhibit 1 shall be incorporated into and form a part of the attached Subscription Agreement.</w:t>
      </w:r>
    </w:p>
    <w:p w:rsidR="005D5C7E" w:rsidRDefault="005D5C7E" w:rsidP="005D5C7E">
      <w:r>
        <w:t>(PLEASE INITIAL THE BOX OF THE APPLICABLE CATEGORY OF ACCREDITED INVESTOR)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5D5C7E" w:rsidTr="00992854">
        <w:tc>
          <w:tcPr>
            <w:tcW w:w="1908" w:type="dxa"/>
          </w:tcPr>
          <w:p w:rsidR="005D5C7E" w:rsidRDefault="005D5C7E" w:rsidP="00992854">
            <w:r>
              <w:t>________ (a)</w:t>
            </w:r>
          </w:p>
        </w:tc>
        <w:tc>
          <w:tcPr>
            <w:tcW w:w="7668" w:type="dxa"/>
          </w:tcPr>
          <w:p w:rsidR="005D5C7E" w:rsidRDefault="005D5C7E" w:rsidP="00992854">
            <w:r>
              <w:t>a Canadian financial institution, or a Schedule III bank;</w:t>
            </w:r>
          </w:p>
        </w:tc>
      </w:tr>
      <w:tr w:rsidR="005D5C7E" w:rsidTr="00992854">
        <w:tc>
          <w:tcPr>
            <w:tcW w:w="1908" w:type="dxa"/>
          </w:tcPr>
          <w:p w:rsidR="005D5C7E" w:rsidRDefault="005D5C7E" w:rsidP="00992854">
            <w:r>
              <w:t>________ (b)</w:t>
            </w:r>
          </w:p>
        </w:tc>
        <w:tc>
          <w:tcPr>
            <w:tcW w:w="7668" w:type="dxa"/>
          </w:tcPr>
          <w:p w:rsidR="005D5C7E" w:rsidRDefault="005D5C7E" w:rsidP="00992854">
            <w:r>
              <w:t xml:space="preserve">the Business Development Bank of Canada incorporated under the </w:t>
            </w:r>
            <w:r w:rsidRPr="00EA7E49">
              <w:rPr>
                <w:i/>
              </w:rPr>
              <w:t>Business Development Bank of Canada Act</w:t>
            </w:r>
            <w:r>
              <w:t xml:space="preserve"> (Canada);</w:t>
            </w:r>
          </w:p>
        </w:tc>
      </w:tr>
      <w:tr w:rsidR="005D5C7E" w:rsidTr="00992854">
        <w:tc>
          <w:tcPr>
            <w:tcW w:w="1908" w:type="dxa"/>
          </w:tcPr>
          <w:p w:rsidR="005D5C7E" w:rsidRDefault="005D5C7E" w:rsidP="00992854">
            <w:r>
              <w:t>________ (c)</w:t>
            </w:r>
          </w:p>
        </w:tc>
        <w:tc>
          <w:tcPr>
            <w:tcW w:w="7668" w:type="dxa"/>
          </w:tcPr>
          <w:p w:rsidR="005D5C7E" w:rsidRDefault="005D5C7E" w:rsidP="00992854">
            <w:r>
              <w:t>a subsidiary of any person referred to in paragraphs (a) or (b), if the person owns all of the voting securities of the subsidiary, except the voting securities required by law to be owned by directors of that subsidiary;</w:t>
            </w:r>
          </w:p>
        </w:tc>
      </w:tr>
      <w:tr w:rsidR="005D5C7E" w:rsidTr="00992854">
        <w:tc>
          <w:tcPr>
            <w:tcW w:w="1908" w:type="dxa"/>
          </w:tcPr>
          <w:p w:rsidR="005D5C7E" w:rsidRDefault="005D5C7E" w:rsidP="00992854">
            <w:r>
              <w:t>________ (d)</w:t>
            </w:r>
          </w:p>
        </w:tc>
        <w:tc>
          <w:tcPr>
            <w:tcW w:w="7668" w:type="dxa"/>
          </w:tcPr>
          <w:p w:rsidR="005D5C7E" w:rsidRDefault="005D5C7E" w:rsidP="00992854">
            <w:r>
              <w:t xml:space="preserve">a person registered under the securities legislation of a jurisdiction of Canada as an adviser or dealer, other than a person registered solely as a limited market dealer under one or both of the </w:t>
            </w:r>
            <w:r w:rsidRPr="00EA7E49">
              <w:rPr>
                <w:i/>
              </w:rPr>
              <w:t>Securities Act</w:t>
            </w:r>
            <w:r>
              <w:t xml:space="preserve"> (Ontario) or the </w:t>
            </w:r>
            <w:r w:rsidRPr="00191A63">
              <w:rPr>
                <w:i/>
              </w:rPr>
              <w:t>Securities Act</w:t>
            </w:r>
            <w:r>
              <w:t xml:space="preserve"> </w:t>
            </w:r>
            <w:r>
              <w:lastRenderedPageBreak/>
              <w:t>(Newfoundland and Labrador);</w:t>
            </w:r>
          </w:p>
        </w:tc>
      </w:tr>
      <w:tr w:rsidR="005D5C7E" w:rsidTr="00992854">
        <w:tc>
          <w:tcPr>
            <w:tcW w:w="1908" w:type="dxa"/>
          </w:tcPr>
          <w:p w:rsidR="005D5C7E" w:rsidRDefault="005D5C7E" w:rsidP="00992854">
            <w:r>
              <w:lastRenderedPageBreak/>
              <w:t>________ (e)</w:t>
            </w:r>
          </w:p>
        </w:tc>
        <w:tc>
          <w:tcPr>
            <w:tcW w:w="7668" w:type="dxa"/>
          </w:tcPr>
          <w:p w:rsidR="005D5C7E" w:rsidRDefault="005D5C7E" w:rsidP="00992854">
            <w:r>
              <w:t>an individual registered or formerly registered under the securities legislation of a jurisdiction of Canada as a representative of a person referred to in paragraph (d);</w:t>
            </w:r>
          </w:p>
        </w:tc>
      </w:tr>
      <w:tr w:rsidR="005D5C7E" w:rsidTr="00992854">
        <w:tc>
          <w:tcPr>
            <w:tcW w:w="1908" w:type="dxa"/>
          </w:tcPr>
          <w:p w:rsidR="005D5C7E" w:rsidRDefault="005D5C7E" w:rsidP="00992854">
            <w:r>
              <w:t>________ (f)</w:t>
            </w:r>
          </w:p>
        </w:tc>
        <w:tc>
          <w:tcPr>
            <w:tcW w:w="7668" w:type="dxa"/>
          </w:tcPr>
          <w:p w:rsidR="005D5C7E" w:rsidRDefault="005D5C7E" w:rsidP="00992854">
            <w:r>
              <w:t>the Government of Canada or a jurisdiction of Canada, or any crown corporation, agency or wholly owned entity of the Government of Canada or a jurisdiction of Canada;</w:t>
            </w:r>
          </w:p>
        </w:tc>
      </w:tr>
      <w:tr w:rsidR="005D5C7E" w:rsidTr="00992854">
        <w:tc>
          <w:tcPr>
            <w:tcW w:w="1908" w:type="dxa"/>
          </w:tcPr>
          <w:p w:rsidR="005D5C7E" w:rsidRDefault="005D5C7E" w:rsidP="00992854">
            <w:r>
              <w:t>________ (g)</w:t>
            </w:r>
          </w:p>
        </w:tc>
        <w:tc>
          <w:tcPr>
            <w:tcW w:w="7668" w:type="dxa"/>
          </w:tcPr>
          <w:p w:rsidR="005D5C7E" w:rsidRDefault="005D5C7E" w:rsidP="00992854">
            <w:r>
              <w:t xml:space="preserve">a municipality, public board or commission in Canada and a metropolitan community, school board, the </w:t>
            </w:r>
            <w:proofErr w:type="spellStart"/>
            <w:r>
              <w:t>Comit</w:t>
            </w:r>
            <w:r>
              <w:rPr>
                <w:rFonts w:cs="Arial"/>
              </w:rPr>
              <w:t>é</w:t>
            </w:r>
            <w:proofErr w:type="spellEnd"/>
            <w:r>
              <w:t xml:space="preserve"> de </w:t>
            </w:r>
            <w:proofErr w:type="spellStart"/>
            <w:r>
              <w:t>gestion</w:t>
            </w:r>
            <w:proofErr w:type="spellEnd"/>
            <w:r>
              <w:t xml:space="preserve"> de la </w:t>
            </w:r>
            <w:proofErr w:type="spellStart"/>
            <w:r>
              <w:t>taxe</w:t>
            </w:r>
            <w:proofErr w:type="spellEnd"/>
            <w:r>
              <w:t xml:space="preserve"> </w:t>
            </w:r>
            <w:proofErr w:type="spellStart"/>
            <w:r>
              <w:t>scolaire</w:t>
            </w:r>
            <w:proofErr w:type="spellEnd"/>
            <w:r>
              <w:t xml:space="preserve"> de </w:t>
            </w:r>
            <w:proofErr w:type="spellStart"/>
            <w:r>
              <w:t>I’ile</w:t>
            </w:r>
            <w:proofErr w:type="spellEnd"/>
            <w:r>
              <w:t xml:space="preserve"> de Montreal or an </w:t>
            </w:r>
            <w:proofErr w:type="spellStart"/>
            <w:r>
              <w:t>intermunicipal</w:t>
            </w:r>
            <w:proofErr w:type="spellEnd"/>
            <w:r>
              <w:t xml:space="preserve"> management board in Qu</w:t>
            </w:r>
            <w:r>
              <w:rPr>
                <w:rFonts w:cs="Arial"/>
              </w:rPr>
              <w:t>é</w:t>
            </w:r>
            <w:r>
              <w:t>bec;</w:t>
            </w:r>
          </w:p>
        </w:tc>
      </w:tr>
      <w:tr w:rsidR="005D5C7E" w:rsidTr="00992854">
        <w:tc>
          <w:tcPr>
            <w:tcW w:w="1908" w:type="dxa"/>
          </w:tcPr>
          <w:p w:rsidR="005D5C7E" w:rsidRDefault="005D5C7E" w:rsidP="00992854">
            <w:r>
              <w:t>________ (h)</w:t>
            </w:r>
          </w:p>
        </w:tc>
        <w:tc>
          <w:tcPr>
            <w:tcW w:w="7668" w:type="dxa"/>
          </w:tcPr>
          <w:p w:rsidR="005D5C7E" w:rsidRDefault="005D5C7E" w:rsidP="00992854">
            <w:r>
              <w:t>any national, federal, state, provincial, territorial or municipal government of or in any foreign jurisdiction, or any agency of that government;</w:t>
            </w:r>
          </w:p>
        </w:tc>
      </w:tr>
      <w:tr w:rsidR="005D5C7E" w:rsidTr="00992854">
        <w:tc>
          <w:tcPr>
            <w:tcW w:w="1908" w:type="dxa"/>
          </w:tcPr>
          <w:p w:rsidR="005D5C7E" w:rsidRDefault="005D5C7E" w:rsidP="00992854">
            <w:r>
              <w:t>________ (</w:t>
            </w:r>
            <w:proofErr w:type="spellStart"/>
            <w:r>
              <w:t>i</w:t>
            </w:r>
            <w:proofErr w:type="spellEnd"/>
            <w:r>
              <w:t>)</w:t>
            </w:r>
          </w:p>
        </w:tc>
        <w:tc>
          <w:tcPr>
            <w:tcW w:w="7668" w:type="dxa"/>
          </w:tcPr>
          <w:p w:rsidR="005D5C7E" w:rsidRDefault="005D5C7E" w:rsidP="00992854">
            <w:r>
              <w:t xml:space="preserve">a pension fund that is regulated by either </w:t>
            </w:r>
            <w:proofErr w:type="spellStart"/>
            <w:r>
              <w:t>theOffice</w:t>
            </w:r>
            <w:proofErr w:type="spellEnd"/>
            <w:r>
              <w:t xml:space="preserve"> of the Superintendent of Financial Institutions (Canada), or a pension commission or similar regulatory authority of a jurisdiction of Canada;</w:t>
            </w:r>
          </w:p>
        </w:tc>
      </w:tr>
      <w:tr w:rsidR="005D5C7E" w:rsidTr="00992854">
        <w:tc>
          <w:tcPr>
            <w:tcW w:w="1908" w:type="dxa"/>
          </w:tcPr>
          <w:p w:rsidR="005D5C7E" w:rsidRDefault="005D5C7E" w:rsidP="00992854">
            <w:r>
              <w:t>________ (j)</w:t>
            </w:r>
          </w:p>
        </w:tc>
        <w:tc>
          <w:tcPr>
            <w:tcW w:w="7668" w:type="dxa"/>
          </w:tcPr>
          <w:p w:rsidR="005D5C7E" w:rsidRDefault="005D5C7E" w:rsidP="00992854">
            <w:r>
              <w:t>an individual who, either alone or with a spouse, beneficially owns, directly or indirectly, financial assets having an aggregate realizable value that before taxes, but net of any related liabilities, exceeds $1,000,000;</w:t>
            </w:r>
          </w:p>
        </w:tc>
      </w:tr>
      <w:tr w:rsidR="005D5C7E" w:rsidTr="00992854">
        <w:tc>
          <w:tcPr>
            <w:tcW w:w="1908" w:type="dxa"/>
          </w:tcPr>
          <w:p w:rsidR="005D5C7E" w:rsidRDefault="005D5C7E" w:rsidP="00992854">
            <w:r>
              <w:t>________ (k)</w:t>
            </w:r>
          </w:p>
        </w:tc>
        <w:tc>
          <w:tcPr>
            <w:tcW w:w="7668" w:type="dxa"/>
          </w:tcPr>
          <w:p w:rsidR="005D5C7E" w:rsidRDefault="005D5C7E" w:rsidP="00992854">
            <w:r>
              <w:t>an individual whose net income before taxes exceeded $200,000 in each of the two most recent calendar years or whose net income before taxes combined with that of a spouse exceeded $300,000 in each of the two most recent calendar years and who, in either case, reasonably expects to exceed that net income level in the current calendar year;</w:t>
            </w:r>
          </w:p>
        </w:tc>
      </w:tr>
      <w:tr w:rsidR="005D5C7E" w:rsidTr="00992854">
        <w:tc>
          <w:tcPr>
            <w:tcW w:w="1908" w:type="dxa"/>
          </w:tcPr>
          <w:p w:rsidR="005D5C7E" w:rsidRDefault="005D5C7E" w:rsidP="00992854">
            <w:r>
              <w:t>________ (l)</w:t>
            </w:r>
          </w:p>
        </w:tc>
        <w:tc>
          <w:tcPr>
            <w:tcW w:w="7668" w:type="dxa"/>
          </w:tcPr>
          <w:p w:rsidR="005D5C7E" w:rsidRDefault="005D5C7E" w:rsidP="00992854">
            <w:r>
              <w:t>an individual who, either alone or with a spouse, has net assets of at least $5,000,000;</w:t>
            </w:r>
          </w:p>
        </w:tc>
      </w:tr>
      <w:tr w:rsidR="005D5C7E" w:rsidTr="00992854">
        <w:tc>
          <w:tcPr>
            <w:tcW w:w="1908" w:type="dxa"/>
          </w:tcPr>
          <w:p w:rsidR="005D5C7E" w:rsidRDefault="005D5C7E" w:rsidP="00992854">
            <w:r>
              <w:t>________ (m)</w:t>
            </w:r>
          </w:p>
        </w:tc>
        <w:tc>
          <w:tcPr>
            <w:tcW w:w="7668" w:type="dxa"/>
          </w:tcPr>
          <w:p w:rsidR="005D5C7E" w:rsidRDefault="005D5C7E" w:rsidP="00992854">
            <w:r>
              <w:t>a person, other than an individual or investment fund, that has net assets of at least $5,000,000 as shown on its most recently prepared financial statements;</w:t>
            </w:r>
          </w:p>
        </w:tc>
      </w:tr>
      <w:tr w:rsidR="005D5C7E" w:rsidTr="00992854">
        <w:tc>
          <w:tcPr>
            <w:tcW w:w="1908" w:type="dxa"/>
          </w:tcPr>
          <w:p w:rsidR="005D5C7E" w:rsidRDefault="005D5C7E" w:rsidP="00992854">
            <w:r>
              <w:t>________ (n)</w:t>
            </w:r>
          </w:p>
        </w:tc>
        <w:tc>
          <w:tcPr>
            <w:tcW w:w="7668" w:type="dxa"/>
          </w:tcPr>
          <w:p w:rsidR="005D5C7E" w:rsidRDefault="005D5C7E" w:rsidP="00992854">
            <w:r>
              <w:t>an investment fund that distributes or has distributed its securities only to;</w:t>
            </w:r>
          </w:p>
          <w:p w:rsidR="005D5C7E" w:rsidRDefault="005D5C7E" w:rsidP="00992854">
            <w:pPr>
              <w:spacing w:after="120"/>
            </w:pPr>
            <w:r>
              <w:t>(</w:t>
            </w:r>
            <w:proofErr w:type="spellStart"/>
            <w:r>
              <w:t>i</w:t>
            </w:r>
            <w:proofErr w:type="spellEnd"/>
            <w:r>
              <w:t>)</w:t>
            </w:r>
            <w:r>
              <w:tab/>
              <w:t>a person that is or was an accredited investor at the time of the distribution;</w:t>
            </w:r>
          </w:p>
          <w:p w:rsidR="005D5C7E" w:rsidRDefault="005D5C7E" w:rsidP="00992854">
            <w:pPr>
              <w:spacing w:after="120"/>
            </w:pPr>
            <w:r>
              <w:t>(ii)</w:t>
            </w:r>
            <w:r>
              <w:tab/>
              <w:t>a person that acquires or acquired securities in the circumstances referred to in section 2.10 and 2.19 of Rule 45-106; or</w:t>
            </w:r>
          </w:p>
          <w:p w:rsidR="005D5C7E" w:rsidRDefault="005D5C7E" w:rsidP="00992854">
            <w:pPr>
              <w:spacing w:after="120"/>
            </w:pPr>
            <w:r>
              <w:t>(iii)</w:t>
            </w:r>
            <w:r>
              <w:tab/>
              <w:t>a person described in paragraph (</w:t>
            </w:r>
            <w:proofErr w:type="spellStart"/>
            <w:r>
              <w:t>i</w:t>
            </w:r>
            <w:proofErr w:type="spellEnd"/>
            <w:r>
              <w:t>) or (ii) that acquires or acquired securities under section 2.18 of Rule 45-106;</w:t>
            </w:r>
          </w:p>
          <w:p w:rsidR="005D5C7E" w:rsidRDefault="005D5C7E" w:rsidP="00992854"/>
        </w:tc>
      </w:tr>
      <w:tr w:rsidR="005D5C7E" w:rsidTr="00992854">
        <w:tc>
          <w:tcPr>
            <w:tcW w:w="1908" w:type="dxa"/>
          </w:tcPr>
          <w:p w:rsidR="005D5C7E" w:rsidRDefault="005D5C7E" w:rsidP="00992854">
            <w:r>
              <w:t>________ (o)</w:t>
            </w:r>
          </w:p>
        </w:tc>
        <w:tc>
          <w:tcPr>
            <w:tcW w:w="7668" w:type="dxa"/>
          </w:tcPr>
          <w:p w:rsidR="005D5C7E" w:rsidRDefault="005D5C7E" w:rsidP="00992854">
            <w:r>
              <w:t>an investment fund that distributes or has distributed securities under a prospectus in a jurisdiction of Canada for which the regulator or, in Quebec, the securities regulatory authority, has issued a receipt;</w:t>
            </w:r>
          </w:p>
        </w:tc>
      </w:tr>
      <w:tr w:rsidR="005D5C7E" w:rsidTr="00992854">
        <w:tc>
          <w:tcPr>
            <w:tcW w:w="1908" w:type="dxa"/>
          </w:tcPr>
          <w:p w:rsidR="005D5C7E" w:rsidRDefault="005D5C7E" w:rsidP="00992854">
            <w:r>
              <w:t>________ (p)</w:t>
            </w:r>
          </w:p>
        </w:tc>
        <w:tc>
          <w:tcPr>
            <w:tcW w:w="7668" w:type="dxa"/>
          </w:tcPr>
          <w:p w:rsidR="005D5C7E" w:rsidRDefault="005D5C7E" w:rsidP="00992854">
            <w:r>
              <w:t xml:space="preserve">a trust company or trust corporation registered or authorized to carry on business under the </w:t>
            </w:r>
            <w:r w:rsidRPr="00AF5306">
              <w:rPr>
                <w:i/>
              </w:rPr>
              <w:t>Trust and Loan Companies Act</w:t>
            </w:r>
            <w:r>
              <w:t xml:space="preserve"> (Canada) or under comparable legislation in a jurisdiction of Canada or a foreign jurisdiction, acting on behalf of a fully managed account managed by the trust company or trust corporation, as the case </w:t>
            </w:r>
            <w:r>
              <w:lastRenderedPageBreak/>
              <w:t>may be;</w:t>
            </w:r>
          </w:p>
        </w:tc>
      </w:tr>
      <w:tr w:rsidR="005D5C7E" w:rsidTr="00992854">
        <w:tc>
          <w:tcPr>
            <w:tcW w:w="1908" w:type="dxa"/>
          </w:tcPr>
          <w:p w:rsidR="005D5C7E" w:rsidRDefault="005D5C7E" w:rsidP="00992854">
            <w:r>
              <w:lastRenderedPageBreak/>
              <w:t>________ (q)</w:t>
            </w:r>
          </w:p>
        </w:tc>
        <w:tc>
          <w:tcPr>
            <w:tcW w:w="7668" w:type="dxa"/>
          </w:tcPr>
          <w:p w:rsidR="005D5C7E" w:rsidRDefault="005D5C7E" w:rsidP="00992854">
            <w:r>
              <w:t>a person acting on behalf of a fully managed account managed by that person, if that person:</w:t>
            </w:r>
          </w:p>
          <w:p w:rsidR="005D5C7E" w:rsidRDefault="005D5C7E" w:rsidP="00992854">
            <w:r>
              <w:t>(</w:t>
            </w:r>
            <w:proofErr w:type="spellStart"/>
            <w:r>
              <w:t>i</w:t>
            </w:r>
            <w:proofErr w:type="spellEnd"/>
            <w:r>
              <w:t>) is registered or authorized to carry on business as an adviser or the equivalent under the securities legislation of a jurisdiction of Canada or a foreign jurisdiction; and</w:t>
            </w:r>
          </w:p>
          <w:p w:rsidR="005D5C7E" w:rsidRDefault="005D5C7E" w:rsidP="00992854">
            <w:r>
              <w:t>(ii) in Ontario, is purchasing a security that is not a security of an investment fund;</w:t>
            </w:r>
          </w:p>
        </w:tc>
      </w:tr>
      <w:tr w:rsidR="005D5C7E" w:rsidTr="00992854">
        <w:tc>
          <w:tcPr>
            <w:tcW w:w="1908" w:type="dxa"/>
          </w:tcPr>
          <w:p w:rsidR="005D5C7E" w:rsidRDefault="005D5C7E" w:rsidP="00992854">
            <w:r>
              <w:t>________ (r)</w:t>
            </w:r>
          </w:p>
        </w:tc>
        <w:tc>
          <w:tcPr>
            <w:tcW w:w="7668" w:type="dxa"/>
          </w:tcPr>
          <w:p w:rsidR="005D5C7E" w:rsidRDefault="005D5C7E" w:rsidP="00992854">
            <w:r>
              <w:t xml:space="preserve">a registered charity under the </w:t>
            </w:r>
            <w:r w:rsidRPr="00EA7E49">
              <w:rPr>
                <w:i/>
              </w:rPr>
              <w:t>Income Tax Act</w:t>
            </w:r>
            <w:r>
              <w:t xml:space="preserve"> (Canada) that, in regard to the trade, has obtained advice from an eligibility adviser or an adviser registered under the securities legislation of the jurisdiction of the registered charity to give advice on the securities being traded;</w:t>
            </w:r>
          </w:p>
        </w:tc>
      </w:tr>
      <w:tr w:rsidR="005D5C7E" w:rsidTr="00992854">
        <w:tc>
          <w:tcPr>
            <w:tcW w:w="1908" w:type="dxa"/>
          </w:tcPr>
          <w:p w:rsidR="005D5C7E" w:rsidRDefault="005D5C7E" w:rsidP="00992854">
            <w:r>
              <w:t>________ (s)</w:t>
            </w:r>
          </w:p>
        </w:tc>
        <w:tc>
          <w:tcPr>
            <w:tcW w:w="7668" w:type="dxa"/>
          </w:tcPr>
          <w:p w:rsidR="005D5C7E" w:rsidRDefault="005D5C7E" w:rsidP="00992854">
            <w:r>
              <w:t>an entity organized in a foreign jurisdiction that is analogous to any of the entities referred to in paragraphs (a) to (d) or paragraph (</w:t>
            </w:r>
            <w:proofErr w:type="spellStart"/>
            <w:r>
              <w:t>i</w:t>
            </w:r>
            <w:proofErr w:type="spellEnd"/>
            <w:r>
              <w:t>) in form and function;</w:t>
            </w:r>
          </w:p>
        </w:tc>
      </w:tr>
      <w:tr w:rsidR="005D5C7E" w:rsidTr="00992854">
        <w:tc>
          <w:tcPr>
            <w:tcW w:w="1908" w:type="dxa"/>
          </w:tcPr>
          <w:p w:rsidR="005D5C7E" w:rsidRDefault="005D5C7E" w:rsidP="00992854">
            <w:r>
              <w:t>________ (t)</w:t>
            </w:r>
          </w:p>
        </w:tc>
        <w:tc>
          <w:tcPr>
            <w:tcW w:w="7668" w:type="dxa"/>
          </w:tcPr>
          <w:p w:rsidR="005D5C7E" w:rsidRDefault="005D5C7E" w:rsidP="00992854">
            <w:r>
              <w:t>a person in respect of which all of the owners of interests, direct, indirect or beneficial, except the voting securities required by law to be owned by directors, are persons that are accredited investors;</w:t>
            </w:r>
          </w:p>
        </w:tc>
      </w:tr>
      <w:tr w:rsidR="005D5C7E" w:rsidTr="00992854">
        <w:tc>
          <w:tcPr>
            <w:tcW w:w="1908" w:type="dxa"/>
          </w:tcPr>
          <w:p w:rsidR="005D5C7E" w:rsidRDefault="005D5C7E" w:rsidP="00992854">
            <w:r>
              <w:t>________ (u)</w:t>
            </w:r>
          </w:p>
        </w:tc>
        <w:tc>
          <w:tcPr>
            <w:tcW w:w="7668" w:type="dxa"/>
          </w:tcPr>
          <w:p w:rsidR="005D5C7E" w:rsidRDefault="005D5C7E" w:rsidP="00992854">
            <w:r>
              <w:t>an investment fund that is advised by a person registered as an adviser or a person that is exempt from registration as an adviser; or</w:t>
            </w:r>
          </w:p>
        </w:tc>
      </w:tr>
      <w:tr w:rsidR="005D5C7E" w:rsidTr="00992854">
        <w:tc>
          <w:tcPr>
            <w:tcW w:w="1908" w:type="dxa"/>
          </w:tcPr>
          <w:p w:rsidR="005D5C7E" w:rsidRDefault="005D5C7E" w:rsidP="00992854">
            <w:r>
              <w:t>________ (v)</w:t>
            </w:r>
          </w:p>
        </w:tc>
        <w:tc>
          <w:tcPr>
            <w:tcW w:w="7668" w:type="dxa"/>
          </w:tcPr>
          <w:p w:rsidR="005D5C7E" w:rsidRDefault="005D5C7E" w:rsidP="00992854">
            <w:proofErr w:type="gramStart"/>
            <w:r>
              <w:t>a</w:t>
            </w:r>
            <w:proofErr w:type="gramEnd"/>
            <w:r>
              <w:t xml:space="preserve"> person that is recognized or designated by the securities regulatory authority or, except in Ontario and Quebec, the regulator as an accredited investor.</w:t>
            </w:r>
          </w:p>
        </w:tc>
      </w:tr>
    </w:tbl>
    <w:p w:rsidR="005D5C7E" w:rsidRDefault="005D5C7E" w:rsidP="005D5C7E"/>
    <w:p w:rsidR="005D5C7E" w:rsidRDefault="005D5C7E" w:rsidP="005D5C7E">
      <w:r>
        <w:t>For the purposes hereof, the following definitions are included for convenience:</w:t>
      </w:r>
    </w:p>
    <w:p w:rsidR="005D5C7E" w:rsidRDefault="005D5C7E" w:rsidP="005D5C7E">
      <w:r>
        <w:t>“</w:t>
      </w:r>
      <w:r w:rsidRPr="00714AAE">
        <w:rPr>
          <w:b/>
        </w:rPr>
        <w:t>Canadian financial institution</w:t>
      </w:r>
      <w:r>
        <w:t xml:space="preserve">” means (a) an association governed by the </w:t>
      </w:r>
      <w:r w:rsidRPr="005D436E">
        <w:rPr>
          <w:i/>
        </w:rPr>
        <w:t>Cooperative Credit Associations Act</w:t>
      </w:r>
      <w:r>
        <w:t xml:space="preserve"> (Canada) or a central cooperative credit society for which an order has been made under section 473(1) of that Act, or (b) a bank, loan corporation, trust company, trust corporation, insurance company, treasury branch, credit union, </w:t>
      </w:r>
      <w:proofErr w:type="spellStart"/>
      <w:r>
        <w:t>caisse</w:t>
      </w:r>
      <w:proofErr w:type="spellEnd"/>
      <w:r>
        <w:t xml:space="preserve"> </w:t>
      </w:r>
      <w:proofErr w:type="spellStart"/>
      <w:r>
        <w:t>populaire</w:t>
      </w:r>
      <w:proofErr w:type="spellEnd"/>
      <w:r>
        <w:t>, financial services cooperative, or league that, in each case, is authorized by an enactment of Canada or a jurisdiction of Canada to carry on business in Canada or a jurisdiction of Canada;</w:t>
      </w:r>
    </w:p>
    <w:p w:rsidR="005D5C7E" w:rsidRDefault="005D5C7E" w:rsidP="005D5C7E">
      <w:r>
        <w:t>“</w:t>
      </w:r>
      <w:r w:rsidRPr="00714AAE">
        <w:rPr>
          <w:b/>
        </w:rPr>
        <w:t>control person</w:t>
      </w:r>
      <w:r>
        <w:t>” has the same meaning as in securities legislation except in Manitoba, Newfoundland and Labrador, Northwest Territories, Nova Scotia, Nunavut, Ontario, Prince Edward Island and Quebec where control person means any person that holds or is one of a combination of persons that holds (a) a sufficient number of any of the securities of an issuer so as to affect materially the control of the issuer, or (b) more than 20% of the outstanding voting securities of an issuer except where there is evidence showing that the holding of those securities does not affect materially the control of the issuer;</w:t>
      </w:r>
    </w:p>
    <w:p w:rsidR="005D5C7E" w:rsidRDefault="005D5C7E" w:rsidP="005D5C7E">
      <w:r>
        <w:t>“</w:t>
      </w:r>
      <w:proofErr w:type="gramStart"/>
      <w:r w:rsidRPr="00714AAE">
        <w:rPr>
          <w:b/>
        </w:rPr>
        <w:t>eligibility</w:t>
      </w:r>
      <w:proofErr w:type="gramEnd"/>
      <w:r w:rsidRPr="00714AAE">
        <w:rPr>
          <w:b/>
        </w:rPr>
        <w:t xml:space="preserve"> adviser</w:t>
      </w:r>
      <w:r>
        <w:t>” means:</w:t>
      </w:r>
    </w:p>
    <w:p w:rsidR="005D5C7E" w:rsidRDefault="005D5C7E" w:rsidP="005D5C7E">
      <w:pPr>
        <w:pStyle w:val="GenL4"/>
      </w:pPr>
      <w:r>
        <w:t>a person registered as an investment dealer and authorized to give advice with respect to the type of security being distributed, and</w:t>
      </w:r>
    </w:p>
    <w:p w:rsidR="005D5C7E" w:rsidRDefault="005D5C7E" w:rsidP="005D5C7E">
      <w:pPr>
        <w:pStyle w:val="GenL4"/>
      </w:pPr>
      <w:r>
        <w:t xml:space="preserve">in Saskatchewan or Manitoba, also means a lawyer who is a practicing member in good standing with a law society of a jurisdiction of Canada or a public accountant who is a member in good standing of an institute or association of chartered accountants, certified </w:t>
      </w:r>
      <w:r>
        <w:lastRenderedPageBreak/>
        <w:t>general accountants or certified management accountants in a jurisdiction of Canada provided the lawyer or public accountant must not</w:t>
      </w:r>
    </w:p>
    <w:p w:rsidR="005D5C7E" w:rsidRDefault="005D5C7E" w:rsidP="005D5C7E">
      <w:pPr>
        <w:pStyle w:val="GenL5"/>
      </w:pPr>
      <w:r>
        <w:t>have a professional, business or personal relationship with the issuer, or any of its directors, executive officers, founders, or control persons, and</w:t>
      </w:r>
    </w:p>
    <w:p w:rsidR="005D5C7E" w:rsidRDefault="005D5C7E" w:rsidP="005D5C7E">
      <w:pPr>
        <w:pStyle w:val="GenL5"/>
      </w:pPr>
      <w:r>
        <w:t>have acted for or been retained personally or otherwise as an employee, executive officer, director, associate or partner of a person that has acted for or been retained by the issuer or any of its directors, executive officers, founders or control persons within the previous 12 months;</w:t>
      </w:r>
    </w:p>
    <w:p w:rsidR="005D5C7E" w:rsidRDefault="005D5C7E" w:rsidP="005D5C7E">
      <w:r>
        <w:t>“</w:t>
      </w:r>
      <w:proofErr w:type="gramStart"/>
      <w:r w:rsidRPr="00714AAE">
        <w:rPr>
          <w:b/>
        </w:rPr>
        <w:t>entity</w:t>
      </w:r>
      <w:proofErr w:type="gramEnd"/>
      <w:r>
        <w:t xml:space="preserve">” means a company, syndicate, partnership, trust or unincorporated organization; </w:t>
      </w:r>
    </w:p>
    <w:p w:rsidR="005D5C7E" w:rsidRDefault="005D5C7E" w:rsidP="005D5C7E">
      <w:r>
        <w:t>“</w:t>
      </w:r>
      <w:proofErr w:type="gramStart"/>
      <w:r w:rsidRPr="00714AAE">
        <w:rPr>
          <w:b/>
        </w:rPr>
        <w:t>executive</w:t>
      </w:r>
      <w:proofErr w:type="gramEnd"/>
      <w:r w:rsidRPr="00714AAE">
        <w:rPr>
          <w:b/>
        </w:rPr>
        <w:t xml:space="preserve"> officer</w:t>
      </w:r>
      <w:r>
        <w:t>” means, for an issuer, an individual who is:</w:t>
      </w:r>
    </w:p>
    <w:p w:rsidR="005D5C7E" w:rsidRDefault="005D5C7E" w:rsidP="005D5C7E">
      <w:pPr>
        <w:pStyle w:val="GenL4"/>
        <w:numPr>
          <w:ilvl w:val="3"/>
          <w:numId w:val="3"/>
        </w:numPr>
      </w:pPr>
      <w:r>
        <w:t>a chair, vice-chair or president,</w:t>
      </w:r>
    </w:p>
    <w:p w:rsidR="005D5C7E" w:rsidRDefault="005D5C7E" w:rsidP="005D5C7E">
      <w:pPr>
        <w:pStyle w:val="GenL4"/>
      </w:pPr>
      <w:r>
        <w:t>a vice-president in charge of a principal business unit, division or function including sales, finance or production, or</w:t>
      </w:r>
    </w:p>
    <w:p w:rsidR="005D5C7E" w:rsidRDefault="005D5C7E" w:rsidP="005D5C7E">
      <w:pPr>
        <w:pStyle w:val="GenL4"/>
      </w:pPr>
      <w:r>
        <w:t>performing a policy-making function in respect of the issuer;</w:t>
      </w:r>
    </w:p>
    <w:p w:rsidR="005D5C7E" w:rsidRDefault="005D5C7E" w:rsidP="005D5C7E">
      <w:r>
        <w:t>“</w:t>
      </w:r>
      <w:proofErr w:type="gramStart"/>
      <w:r w:rsidRPr="00714AAE">
        <w:rPr>
          <w:b/>
        </w:rPr>
        <w:t>financial</w:t>
      </w:r>
      <w:proofErr w:type="gramEnd"/>
      <w:r w:rsidRPr="00714AAE">
        <w:rPr>
          <w:b/>
        </w:rPr>
        <w:t xml:space="preserve"> assets</w:t>
      </w:r>
      <w:r>
        <w:t xml:space="preserve">” means cash, securities, or any a contract of insurance, a deposit or an evidence of a deposit that is not a security for the purposes of securities legislation; </w:t>
      </w:r>
    </w:p>
    <w:p w:rsidR="005D5C7E" w:rsidRDefault="005D5C7E" w:rsidP="005D5C7E">
      <w:r>
        <w:t>“</w:t>
      </w:r>
      <w:proofErr w:type="gramStart"/>
      <w:r w:rsidRPr="00714AAE">
        <w:rPr>
          <w:b/>
        </w:rPr>
        <w:t>founder</w:t>
      </w:r>
      <w:proofErr w:type="gramEnd"/>
      <w:r>
        <w:t>” means, in respect of an issuer, a person who,</w:t>
      </w:r>
    </w:p>
    <w:p w:rsidR="005D5C7E" w:rsidRDefault="005D5C7E" w:rsidP="005D5C7E">
      <w:pPr>
        <w:pStyle w:val="GenL4"/>
        <w:numPr>
          <w:ilvl w:val="3"/>
          <w:numId w:val="4"/>
        </w:numPr>
      </w:pPr>
      <w:r>
        <w:t>acting alone, in conjunction, or in concert with one or more persons, directly or indirectly, takes the initiative in founding, organizing or substantially reorganizing the business of the issuer, and</w:t>
      </w:r>
    </w:p>
    <w:p w:rsidR="005D5C7E" w:rsidRDefault="005D5C7E" w:rsidP="005D5C7E">
      <w:pPr>
        <w:pStyle w:val="GenL4"/>
      </w:pPr>
      <w:r>
        <w:t xml:space="preserve">at the time of the distribution or trade is actively involved in the business of the issuer; </w:t>
      </w:r>
    </w:p>
    <w:p w:rsidR="005D5C7E" w:rsidRDefault="005D5C7E" w:rsidP="005D5C7E">
      <w:r>
        <w:t>“</w:t>
      </w:r>
      <w:r w:rsidRPr="00714AAE">
        <w:rPr>
          <w:b/>
        </w:rPr>
        <w:t>fully managed account</w:t>
      </w:r>
      <w:r>
        <w:t>” means an account of a client for which a person makes the investment decisions if that person has full discretion to trade in securities for the account without requiring the client’s express consent to a transaction;</w:t>
      </w:r>
    </w:p>
    <w:p w:rsidR="005D5C7E" w:rsidRDefault="005D5C7E" w:rsidP="005D5C7E">
      <w:r>
        <w:t>“</w:t>
      </w:r>
      <w:r w:rsidRPr="00714AAE">
        <w:rPr>
          <w:b/>
        </w:rPr>
        <w:t>investment fund</w:t>
      </w:r>
      <w:r>
        <w:t xml:space="preserve">” means a mutual fund or a non-redeemable investment fund, and, for greater certainty in British Columbia, includes: (a) an employee venture capital corporation that does not have a restricted constitution, and is registered under Part 2 of the </w:t>
      </w:r>
      <w:r w:rsidRPr="00F8091B">
        <w:rPr>
          <w:i/>
        </w:rPr>
        <w:t>Employee Investment Act</w:t>
      </w:r>
      <w:r>
        <w:t xml:space="preserve"> (British Columbia), R.S.B.C. 1996 c. 112, and whose business objective is making multiple investments and (b) a venture capital corporation registered under Part 1 of the </w:t>
      </w:r>
      <w:r w:rsidRPr="00F8091B">
        <w:rPr>
          <w:i/>
        </w:rPr>
        <w:t xml:space="preserve">Small Business Venture Capital Act </w:t>
      </w:r>
      <w:r>
        <w:t>(British Columbia), R.S.B.C. 1996 c. 429 whose business objective is making multiple investments;</w:t>
      </w:r>
    </w:p>
    <w:p w:rsidR="005D5C7E" w:rsidRDefault="005D5C7E" w:rsidP="005D5C7E">
      <w:r>
        <w:t>“</w:t>
      </w:r>
      <w:r w:rsidRPr="00714AAE">
        <w:rPr>
          <w:b/>
        </w:rPr>
        <w:t>person</w:t>
      </w:r>
      <w:r>
        <w:t xml:space="preserve">” includes (a) an individual, (b) a corporation, (c) a partnership, trust, fund and an association, syndicate, organization or other organized group of persons, whether incorporated or not, and (d) an individual or other person in that person’s capacity as a trustee, executor, administrator or personal or other legal representative; </w:t>
      </w:r>
    </w:p>
    <w:p w:rsidR="005D5C7E" w:rsidRDefault="005D5C7E" w:rsidP="005D5C7E">
      <w:r>
        <w:t>“</w:t>
      </w:r>
      <w:proofErr w:type="gramStart"/>
      <w:r w:rsidRPr="00714AAE">
        <w:rPr>
          <w:b/>
        </w:rPr>
        <w:t>related</w:t>
      </w:r>
      <w:proofErr w:type="gramEnd"/>
      <w:r w:rsidRPr="00714AAE">
        <w:rPr>
          <w:b/>
        </w:rPr>
        <w:t xml:space="preserve"> liabilities</w:t>
      </w:r>
      <w:r>
        <w:t>” means liabilities incurred or assumed for the purpose of financing the acquisition or ownership of financial assets, or liabilities that are secured by financial assets;</w:t>
      </w:r>
    </w:p>
    <w:p w:rsidR="005D5C7E" w:rsidRDefault="005D5C7E" w:rsidP="005D5C7E">
      <w:r>
        <w:t>“</w:t>
      </w:r>
      <w:r w:rsidRPr="00714AAE">
        <w:rPr>
          <w:b/>
        </w:rPr>
        <w:t>Rule 45-106</w:t>
      </w:r>
      <w:r>
        <w:t xml:space="preserve">” means National Instrument 45-106 — </w:t>
      </w:r>
      <w:r w:rsidRPr="00F8091B">
        <w:rPr>
          <w:i/>
        </w:rPr>
        <w:t xml:space="preserve">Prospectus and Registration Exemptions </w:t>
      </w:r>
      <w:r>
        <w:t>as such instrument is in effect at closing in the province in which the Purchaser resides;</w:t>
      </w:r>
    </w:p>
    <w:p w:rsidR="005D5C7E" w:rsidRDefault="005D5C7E" w:rsidP="005D5C7E">
      <w:r>
        <w:lastRenderedPageBreak/>
        <w:t>“</w:t>
      </w:r>
      <w:r w:rsidRPr="00714AAE">
        <w:rPr>
          <w:b/>
        </w:rPr>
        <w:t xml:space="preserve">Schedule III </w:t>
      </w:r>
      <w:r>
        <w:rPr>
          <w:b/>
        </w:rPr>
        <w:t>b</w:t>
      </w:r>
      <w:r w:rsidRPr="00714AAE">
        <w:rPr>
          <w:b/>
        </w:rPr>
        <w:t>ank</w:t>
      </w:r>
      <w:r>
        <w:t xml:space="preserve">” means an authorized foreign bank named in Schedule III of the </w:t>
      </w:r>
      <w:r w:rsidRPr="00F8091B">
        <w:rPr>
          <w:i/>
        </w:rPr>
        <w:t>Bank Act</w:t>
      </w:r>
      <w:r>
        <w:t xml:space="preserve"> (Canada);</w:t>
      </w:r>
    </w:p>
    <w:p w:rsidR="005D5C7E" w:rsidRDefault="005D5C7E" w:rsidP="005D5C7E">
      <w:r>
        <w:t>“</w:t>
      </w:r>
      <w:r w:rsidRPr="00714AAE">
        <w:rPr>
          <w:b/>
        </w:rPr>
        <w:t>spouse</w:t>
      </w:r>
      <w:r>
        <w:t xml:space="preserve">” means an individual who (a) is married to another individual and is not living separate and apart within the meaning of the </w:t>
      </w:r>
      <w:r w:rsidRPr="00F8091B">
        <w:rPr>
          <w:i/>
        </w:rPr>
        <w:t>Divorce Act</w:t>
      </w:r>
      <w:r>
        <w:t xml:space="preserve"> (Canada), from the other individual, (b) is living with another individual in a marriage-like relationship, including a marriage-like relationship between individuals of the same gender, or (c) in Alberta, is an individual referred to in paragraph (a) or (b), or is an adult interdependent partner within the meaning of the </w:t>
      </w:r>
      <w:r w:rsidRPr="00F8091B">
        <w:rPr>
          <w:i/>
        </w:rPr>
        <w:t xml:space="preserve">Adult Interdependent Relationships Act </w:t>
      </w:r>
      <w:r>
        <w:t>(Alberta); and</w:t>
      </w:r>
    </w:p>
    <w:p w:rsidR="005D5C7E" w:rsidRDefault="005D5C7E" w:rsidP="005D5C7E">
      <w:r>
        <w:t>“</w:t>
      </w:r>
      <w:proofErr w:type="gramStart"/>
      <w:r w:rsidRPr="00714AAE">
        <w:rPr>
          <w:b/>
        </w:rPr>
        <w:t>subsidiary</w:t>
      </w:r>
      <w:proofErr w:type="gramEnd"/>
      <w:r>
        <w:t>” means an issuer that is controlled directly or indirectly by another issuer and includes a subsidiary of that subsidiary.</w:t>
      </w:r>
    </w:p>
    <w:p w:rsidR="005D5C7E" w:rsidRDefault="005D5C7E" w:rsidP="005D5C7E">
      <w:r>
        <w:t>In Rule 45-106 an issuer is considered to be an affiliated entity of another issuer if one is a subsidiary entity of the other or if each of them is controlled by the same person.</w:t>
      </w:r>
    </w:p>
    <w:p w:rsidR="005D5C7E" w:rsidRDefault="005D5C7E" w:rsidP="005D5C7E">
      <w:r>
        <w:t>In Rule 45-106 a person (first person) is considered to control another person (second person) if (a) the first person beneficially owns or directly or indirectly exercises control or direction over securities of the second person carrying votes which, if exercised, would entitle the first person to elect a majority of the directors of the second person, unless that first person holds the voting securities only to secure an obligation, (b) the second person is a partnership, other than a limited partnership, and the first person holds more than 50% of the interests of the partnership, or (c) the second person is a limited partnership and the general partner of the limited partnership is the first person.</w:t>
      </w:r>
    </w:p>
    <w:p w:rsidR="005D5C7E" w:rsidRDefault="005D5C7E" w:rsidP="005D5C7E">
      <w:r>
        <w:t>The foregoing representations contained in this certificate are true and accurate as of the date of this certificate and will be true and accurate as of the closing of the transactions set out in the Subscription Agreement. If any such representations shall not be true and accurate before the closing, the undersigned shall give immediate written notice of such fact to the Company before such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5C7E" w:rsidTr="00992854">
        <w:tc>
          <w:tcPr>
            <w:tcW w:w="4788" w:type="dxa"/>
          </w:tcPr>
          <w:p w:rsidR="005D5C7E" w:rsidRDefault="005D5C7E" w:rsidP="00992854"/>
        </w:tc>
        <w:tc>
          <w:tcPr>
            <w:tcW w:w="4788" w:type="dxa"/>
          </w:tcPr>
          <w:p w:rsidR="005D5C7E" w:rsidRDefault="005D5C7E" w:rsidP="00992854">
            <w:r>
              <w:t>___________________________________</w:t>
            </w:r>
            <w:r>
              <w:br/>
              <w:t>Signature of Purchaser</w:t>
            </w:r>
          </w:p>
          <w:p w:rsidR="005D5C7E" w:rsidRDefault="005D5C7E" w:rsidP="00992854">
            <w:r>
              <w:t>___________________________________</w:t>
            </w:r>
            <w:r>
              <w:br/>
              <w:t>Print Name of Purchaser(s)</w:t>
            </w:r>
          </w:p>
        </w:tc>
      </w:tr>
      <w:tr w:rsidR="005D5C7E" w:rsidTr="00992854">
        <w:tc>
          <w:tcPr>
            <w:tcW w:w="4788" w:type="dxa"/>
          </w:tcPr>
          <w:p w:rsidR="005D5C7E" w:rsidRDefault="005D5C7E" w:rsidP="00992854">
            <w:r>
              <w:t>_____________________________________</w:t>
            </w:r>
            <w:r>
              <w:br/>
              <w:t>Date</w:t>
            </w:r>
          </w:p>
        </w:tc>
        <w:tc>
          <w:tcPr>
            <w:tcW w:w="4788" w:type="dxa"/>
          </w:tcPr>
          <w:p w:rsidR="005D5C7E" w:rsidRDefault="005D5C7E" w:rsidP="00992854"/>
        </w:tc>
      </w:tr>
    </w:tbl>
    <w:p w:rsidR="005D5C7E" w:rsidRDefault="005D5C7E" w:rsidP="005D5C7E"/>
    <w:p w:rsidR="00E4341B" w:rsidRDefault="005D5C7E"/>
    <w:sectPr w:rsidR="00E4341B" w:rsidSect="005D5C7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0DEF"/>
    <w:multiLevelType w:val="multilevel"/>
    <w:tmpl w:val="6732517A"/>
    <w:name w:val="Gen"/>
    <w:lvl w:ilvl="0">
      <w:start w:val="1"/>
      <w:numFmt w:val="decimal"/>
      <w:lvlRestart w:val="0"/>
      <w:pStyle w:val="GenL1"/>
      <w:lvlText w:val="%1."/>
      <w:lvlJc w:val="left"/>
      <w:pPr>
        <w:tabs>
          <w:tab w:val="num" w:pos="720"/>
        </w:tabs>
        <w:ind w:left="720" w:hanging="720"/>
      </w:pPr>
      <w:rPr>
        <w:rFonts w:hint="default"/>
        <w:b w:val="0"/>
      </w:rPr>
    </w:lvl>
    <w:lvl w:ilvl="1">
      <w:start w:val="1"/>
      <w:numFmt w:val="lowerLetter"/>
      <w:pStyle w:val="GenL2"/>
      <w:lvlText w:val="(%2)"/>
      <w:lvlJc w:val="left"/>
      <w:pPr>
        <w:tabs>
          <w:tab w:val="num" w:pos="1440"/>
        </w:tabs>
        <w:ind w:left="1440" w:hanging="720"/>
      </w:pPr>
      <w:rPr>
        <w:rFonts w:hint="default"/>
      </w:rPr>
    </w:lvl>
    <w:lvl w:ilvl="2">
      <w:start w:val="1"/>
      <w:numFmt w:val="lowerRoman"/>
      <w:pStyle w:val="GenL3"/>
      <w:lvlText w:val="(%3)"/>
      <w:lvlJc w:val="right"/>
      <w:pPr>
        <w:tabs>
          <w:tab w:val="num" w:pos="2160"/>
        </w:tabs>
        <w:ind w:left="2160" w:hanging="432"/>
      </w:pPr>
      <w:rPr>
        <w:rFonts w:hint="default"/>
      </w:rPr>
    </w:lvl>
    <w:lvl w:ilvl="3">
      <w:start w:val="1"/>
      <w:numFmt w:val="lowerLetter"/>
      <w:pStyle w:val="GenL4"/>
      <w:lvlText w:val="(%4)"/>
      <w:lvlJc w:val="left"/>
      <w:pPr>
        <w:tabs>
          <w:tab w:val="num" w:pos="1440"/>
        </w:tabs>
        <w:ind w:left="1440" w:hanging="720"/>
      </w:pPr>
      <w:rPr>
        <w:rFonts w:hint="default"/>
      </w:rPr>
    </w:lvl>
    <w:lvl w:ilvl="4">
      <w:start w:val="1"/>
      <w:numFmt w:val="lowerRoman"/>
      <w:pStyle w:val="GenL5"/>
      <w:lvlText w:val="(%5)"/>
      <w:lvlJc w:val="left"/>
      <w:pPr>
        <w:tabs>
          <w:tab w:val="num" w:pos="2160"/>
        </w:tabs>
        <w:ind w:left="2160" w:hanging="720"/>
      </w:pPr>
      <w:rPr>
        <w:rFonts w:hint="default"/>
      </w:rPr>
    </w:lvl>
    <w:lvl w:ilvl="5">
      <w:start w:val="1"/>
      <w:numFmt w:val="decimal"/>
      <w:pStyle w:val="GenL6"/>
      <w:lvlText w:val="(%6)"/>
      <w:lvlJc w:val="left"/>
      <w:pPr>
        <w:tabs>
          <w:tab w:val="num" w:pos="4320"/>
        </w:tabs>
        <w:ind w:left="4320" w:hanging="720"/>
      </w:pPr>
      <w:rPr>
        <w:rFonts w:hint="default"/>
      </w:rPr>
    </w:lvl>
    <w:lvl w:ilvl="6">
      <w:start w:val="1"/>
      <w:numFmt w:val="lowerLetter"/>
      <w:pStyle w:val="GenL7"/>
      <w:lvlText w:val="%7)"/>
      <w:lvlJc w:val="left"/>
      <w:pPr>
        <w:tabs>
          <w:tab w:val="num" w:pos="5040"/>
        </w:tabs>
        <w:ind w:left="5040" w:hanging="720"/>
      </w:pPr>
      <w:rPr>
        <w:rFonts w:hint="default"/>
      </w:rPr>
    </w:lvl>
    <w:lvl w:ilvl="7">
      <w:start w:val="1"/>
      <w:numFmt w:val="lowerRoman"/>
      <w:pStyle w:val="GenL8"/>
      <w:lvlText w:val="%8)"/>
      <w:lvlJc w:val="right"/>
      <w:pPr>
        <w:tabs>
          <w:tab w:val="num" w:pos="5760"/>
        </w:tabs>
        <w:ind w:left="5760" w:hanging="432"/>
      </w:pPr>
      <w:rPr>
        <w:rFonts w:hint="default"/>
      </w:rPr>
    </w:lvl>
    <w:lvl w:ilvl="8">
      <w:start w:val="1"/>
      <w:numFmt w:val="decimal"/>
      <w:pStyle w:val="GenL9"/>
      <w:lvlText w:val="%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7E"/>
    <w:rsid w:val="00200BB4"/>
    <w:rsid w:val="005D5C7E"/>
    <w:rsid w:val="00F0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7E"/>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5D5C7E"/>
    <w:pPr>
      <w:jc w:val="center"/>
    </w:pPr>
    <w:rPr>
      <w:b/>
    </w:rPr>
  </w:style>
  <w:style w:type="character" w:customStyle="1" w:styleId="Bold">
    <w:name w:val="Bold"/>
    <w:basedOn w:val="DefaultParagraphFont"/>
    <w:rsid w:val="005D5C7E"/>
    <w:rPr>
      <w:b/>
    </w:rPr>
  </w:style>
  <w:style w:type="character" w:customStyle="1" w:styleId="Italic">
    <w:name w:val="Italic"/>
    <w:basedOn w:val="DefaultParagraphFont"/>
    <w:rsid w:val="005D5C7E"/>
    <w:rPr>
      <w:i/>
    </w:rPr>
  </w:style>
  <w:style w:type="table" w:styleId="TableGrid">
    <w:name w:val="Table Grid"/>
    <w:basedOn w:val="TableNormal"/>
    <w:rsid w:val="005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L1">
    <w:name w:val="Gen L1"/>
    <w:aliases w:val="G1"/>
    <w:basedOn w:val="Normal"/>
    <w:link w:val="GenL1Char"/>
    <w:rsid w:val="005D5C7E"/>
    <w:pPr>
      <w:numPr>
        <w:numId w:val="1"/>
      </w:numPr>
      <w:outlineLvl w:val="0"/>
    </w:pPr>
    <w:rPr>
      <w:rFonts w:cs="Arial"/>
    </w:rPr>
  </w:style>
  <w:style w:type="character" w:customStyle="1" w:styleId="GenL1Char">
    <w:name w:val="Gen L1 Char"/>
    <w:aliases w:val="G1 Char"/>
    <w:basedOn w:val="DefaultParagraphFont"/>
    <w:link w:val="GenL1"/>
    <w:rsid w:val="005D5C7E"/>
    <w:rPr>
      <w:rFonts w:ascii="Arial" w:eastAsia="Times New Roman" w:hAnsi="Arial" w:cs="Arial"/>
      <w:sz w:val="20"/>
      <w:szCs w:val="20"/>
      <w:lang w:val="en-CA"/>
    </w:rPr>
  </w:style>
  <w:style w:type="paragraph" w:customStyle="1" w:styleId="GenL2">
    <w:name w:val="Gen L2"/>
    <w:aliases w:val="G2"/>
    <w:basedOn w:val="Normal"/>
    <w:rsid w:val="005D5C7E"/>
    <w:pPr>
      <w:numPr>
        <w:ilvl w:val="1"/>
        <w:numId w:val="1"/>
      </w:numPr>
      <w:outlineLvl w:val="1"/>
    </w:pPr>
    <w:rPr>
      <w:rFonts w:cs="Arial"/>
    </w:rPr>
  </w:style>
  <w:style w:type="paragraph" w:customStyle="1" w:styleId="GenL3">
    <w:name w:val="Gen L3"/>
    <w:aliases w:val="G3"/>
    <w:basedOn w:val="Normal"/>
    <w:rsid w:val="005D5C7E"/>
    <w:pPr>
      <w:numPr>
        <w:ilvl w:val="2"/>
        <w:numId w:val="1"/>
      </w:numPr>
      <w:outlineLvl w:val="2"/>
    </w:pPr>
    <w:rPr>
      <w:rFonts w:cs="Arial"/>
    </w:rPr>
  </w:style>
  <w:style w:type="paragraph" w:customStyle="1" w:styleId="GenL4">
    <w:name w:val="Gen L4"/>
    <w:aliases w:val="G4"/>
    <w:basedOn w:val="Normal"/>
    <w:link w:val="GenL4Char"/>
    <w:rsid w:val="005D5C7E"/>
    <w:pPr>
      <w:numPr>
        <w:ilvl w:val="3"/>
        <w:numId w:val="1"/>
      </w:numPr>
    </w:pPr>
    <w:rPr>
      <w:rFonts w:cs="Arial"/>
    </w:rPr>
  </w:style>
  <w:style w:type="character" w:customStyle="1" w:styleId="GenL4Char">
    <w:name w:val="Gen L4 Char"/>
    <w:aliases w:val="G4 Char"/>
    <w:basedOn w:val="DefaultParagraphFont"/>
    <w:link w:val="GenL4"/>
    <w:rsid w:val="005D5C7E"/>
    <w:rPr>
      <w:rFonts w:ascii="Arial" w:eastAsia="Times New Roman" w:hAnsi="Arial" w:cs="Arial"/>
      <w:sz w:val="20"/>
      <w:szCs w:val="20"/>
      <w:lang w:val="en-CA"/>
    </w:rPr>
  </w:style>
  <w:style w:type="paragraph" w:customStyle="1" w:styleId="GenL5">
    <w:name w:val="Gen L5"/>
    <w:aliases w:val="G5"/>
    <w:basedOn w:val="Normal"/>
    <w:link w:val="GenL5Char"/>
    <w:rsid w:val="005D5C7E"/>
    <w:pPr>
      <w:numPr>
        <w:ilvl w:val="4"/>
        <w:numId w:val="1"/>
      </w:numPr>
    </w:pPr>
    <w:rPr>
      <w:rFonts w:cs="Arial"/>
    </w:rPr>
  </w:style>
  <w:style w:type="character" w:customStyle="1" w:styleId="GenL5Char">
    <w:name w:val="Gen L5 Char"/>
    <w:aliases w:val="G5 Char"/>
    <w:basedOn w:val="DefaultParagraphFont"/>
    <w:link w:val="GenL5"/>
    <w:rsid w:val="005D5C7E"/>
    <w:rPr>
      <w:rFonts w:ascii="Arial" w:eastAsia="Times New Roman" w:hAnsi="Arial" w:cs="Arial"/>
      <w:sz w:val="20"/>
      <w:szCs w:val="20"/>
      <w:lang w:val="en-CA"/>
    </w:rPr>
  </w:style>
  <w:style w:type="paragraph" w:customStyle="1" w:styleId="GenL6">
    <w:name w:val="Gen L6"/>
    <w:aliases w:val="G6"/>
    <w:basedOn w:val="Normal"/>
    <w:rsid w:val="005D5C7E"/>
    <w:pPr>
      <w:numPr>
        <w:ilvl w:val="5"/>
        <w:numId w:val="1"/>
      </w:numPr>
    </w:pPr>
    <w:rPr>
      <w:rFonts w:cs="Arial"/>
    </w:rPr>
  </w:style>
  <w:style w:type="paragraph" w:customStyle="1" w:styleId="GenL7">
    <w:name w:val="Gen L7"/>
    <w:aliases w:val="G7"/>
    <w:basedOn w:val="Normal"/>
    <w:rsid w:val="005D5C7E"/>
    <w:pPr>
      <w:numPr>
        <w:ilvl w:val="6"/>
        <w:numId w:val="1"/>
      </w:numPr>
    </w:pPr>
    <w:rPr>
      <w:rFonts w:cs="Arial"/>
    </w:rPr>
  </w:style>
  <w:style w:type="paragraph" w:customStyle="1" w:styleId="GenL8">
    <w:name w:val="Gen L8"/>
    <w:aliases w:val="G8"/>
    <w:basedOn w:val="Normal"/>
    <w:rsid w:val="005D5C7E"/>
    <w:pPr>
      <w:numPr>
        <w:ilvl w:val="7"/>
        <w:numId w:val="1"/>
      </w:numPr>
    </w:pPr>
    <w:rPr>
      <w:rFonts w:cs="Arial"/>
    </w:rPr>
  </w:style>
  <w:style w:type="paragraph" w:customStyle="1" w:styleId="GenL9">
    <w:name w:val="Gen L9"/>
    <w:aliases w:val="G9"/>
    <w:basedOn w:val="Normal"/>
    <w:rsid w:val="005D5C7E"/>
    <w:pPr>
      <w:numPr>
        <w:ilvl w:val="8"/>
        <w:numId w:val="1"/>
      </w:numPr>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7E"/>
    <w:pPr>
      <w:spacing w:after="24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
    <w:name w:val="Centre"/>
    <w:aliases w:val="C"/>
    <w:basedOn w:val="Normal"/>
    <w:rsid w:val="005D5C7E"/>
    <w:pPr>
      <w:jc w:val="center"/>
    </w:pPr>
    <w:rPr>
      <w:b/>
    </w:rPr>
  </w:style>
  <w:style w:type="character" w:customStyle="1" w:styleId="Bold">
    <w:name w:val="Bold"/>
    <w:basedOn w:val="DefaultParagraphFont"/>
    <w:rsid w:val="005D5C7E"/>
    <w:rPr>
      <w:b/>
    </w:rPr>
  </w:style>
  <w:style w:type="character" w:customStyle="1" w:styleId="Italic">
    <w:name w:val="Italic"/>
    <w:basedOn w:val="DefaultParagraphFont"/>
    <w:rsid w:val="005D5C7E"/>
    <w:rPr>
      <w:i/>
    </w:rPr>
  </w:style>
  <w:style w:type="table" w:styleId="TableGrid">
    <w:name w:val="Table Grid"/>
    <w:basedOn w:val="TableNormal"/>
    <w:rsid w:val="005D5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L1">
    <w:name w:val="Gen L1"/>
    <w:aliases w:val="G1"/>
    <w:basedOn w:val="Normal"/>
    <w:link w:val="GenL1Char"/>
    <w:rsid w:val="005D5C7E"/>
    <w:pPr>
      <w:numPr>
        <w:numId w:val="1"/>
      </w:numPr>
      <w:outlineLvl w:val="0"/>
    </w:pPr>
    <w:rPr>
      <w:rFonts w:cs="Arial"/>
    </w:rPr>
  </w:style>
  <w:style w:type="character" w:customStyle="1" w:styleId="GenL1Char">
    <w:name w:val="Gen L1 Char"/>
    <w:aliases w:val="G1 Char"/>
    <w:basedOn w:val="DefaultParagraphFont"/>
    <w:link w:val="GenL1"/>
    <w:rsid w:val="005D5C7E"/>
    <w:rPr>
      <w:rFonts w:ascii="Arial" w:eastAsia="Times New Roman" w:hAnsi="Arial" w:cs="Arial"/>
      <w:sz w:val="20"/>
      <w:szCs w:val="20"/>
      <w:lang w:val="en-CA"/>
    </w:rPr>
  </w:style>
  <w:style w:type="paragraph" w:customStyle="1" w:styleId="GenL2">
    <w:name w:val="Gen L2"/>
    <w:aliases w:val="G2"/>
    <w:basedOn w:val="Normal"/>
    <w:rsid w:val="005D5C7E"/>
    <w:pPr>
      <w:numPr>
        <w:ilvl w:val="1"/>
        <w:numId w:val="1"/>
      </w:numPr>
      <w:outlineLvl w:val="1"/>
    </w:pPr>
    <w:rPr>
      <w:rFonts w:cs="Arial"/>
    </w:rPr>
  </w:style>
  <w:style w:type="paragraph" w:customStyle="1" w:styleId="GenL3">
    <w:name w:val="Gen L3"/>
    <w:aliases w:val="G3"/>
    <w:basedOn w:val="Normal"/>
    <w:rsid w:val="005D5C7E"/>
    <w:pPr>
      <w:numPr>
        <w:ilvl w:val="2"/>
        <w:numId w:val="1"/>
      </w:numPr>
      <w:outlineLvl w:val="2"/>
    </w:pPr>
    <w:rPr>
      <w:rFonts w:cs="Arial"/>
    </w:rPr>
  </w:style>
  <w:style w:type="paragraph" w:customStyle="1" w:styleId="GenL4">
    <w:name w:val="Gen L4"/>
    <w:aliases w:val="G4"/>
    <w:basedOn w:val="Normal"/>
    <w:link w:val="GenL4Char"/>
    <w:rsid w:val="005D5C7E"/>
    <w:pPr>
      <w:numPr>
        <w:ilvl w:val="3"/>
        <w:numId w:val="1"/>
      </w:numPr>
    </w:pPr>
    <w:rPr>
      <w:rFonts w:cs="Arial"/>
    </w:rPr>
  </w:style>
  <w:style w:type="character" w:customStyle="1" w:styleId="GenL4Char">
    <w:name w:val="Gen L4 Char"/>
    <w:aliases w:val="G4 Char"/>
    <w:basedOn w:val="DefaultParagraphFont"/>
    <w:link w:val="GenL4"/>
    <w:rsid w:val="005D5C7E"/>
    <w:rPr>
      <w:rFonts w:ascii="Arial" w:eastAsia="Times New Roman" w:hAnsi="Arial" w:cs="Arial"/>
      <w:sz w:val="20"/>
      <w:szCs w:val="20"/>
      <w:lang w:val="en-CA"/>
    </w:rPr>
  </w:style>
  <w:style w:type="paragraph" w:customStyle="1" w:styleId="GenL5">
    <w:name w:val="Gen L5"/>
    <w:aliases w:val="G5"/>
    <w:basedOn w:val="Normal"/>
    <w:link w:val="GenL5Char"/>
    <w:rsid w:val="005D5C7E"/>
    <w:pPr>
      <w:numPr>
        <w:ilvl w:val="4"/>
        <w:numId w:val="1"/>
      </w:numPr>
    </w:pPr>
    <w:rPr>
      <w:rFonts w:cs="Arial"/>
    </w:rPr>
  </w:style>
  <w:style w:type="character" w:customStyle="1" w:styleId="GenL5Char">
    <w:name w:val="Gen L5 Char"/>
    <w:aliases w:val="G5 Char"/>
    <w:basedOn w:val="DefaultParagraphFont"/>
    <w:link w:val="GenL5"/>
    <w:rsid w:val="005D5C7E"/>
    <w:rPr>
      <w:rFonts w:ascii="Arial" w:eastAsia="Times New Roman" w:hAnsi="Arial" w:cs="Arial"/>
      <w:sz w:val="20"/>
      <w:szCs w:val="20"/>
      <w:lang w:val="en-CA"/>
    </w:rPr>
  </w:style>
  <w:style w:type="paragraph" w:customStyle="1" w:styleId="GenL6">
    <w:name w:val="Gen L6"/>
    <w:aliases w:val="G6"/>
    <w:basedOn w:val="Normal"/>
    <w:rsid w:val="005D5C7E"/>
    <w:pPr>
      <w:numPr>
        <w:ilvl w:val="5"/>
        <w:numId w:val="1"/>
      </w:numPr>
    </w:pPr>
    <w:rPr>
      <w:rFonts w:cs="Arial"/>
    </w:rPr>
  </w:style>
  <w:style w:type="paragraph" w:customStyle="1" w:styleId="GenL7">
    <w:name w:val="Gen L7"/>
    <w:aliases w:val="G7"/>
    <w:basedOn w:val="Normal"/>
    <w:rsid w:val="005D5C7E"/>
    <w:pPr>
      <w:numPr>
        <w:ilvl w:val="6"/>
        <w:numId w:val="1"/>
      </w:numPr>
    </w:pPr>
    <w:rPr>
      <w:rFonts w:cs="Arial"/>
    </w:rPr>
  </w:style>
  <w:style w:type="paragraph" w:customStyle="1" w:styleId="GenL8">
    <w:name w:val="Gen L8"/>
    <w:aliases w:val="G8"/>
    <w:basedOn w:val="Normal"/>
    <w:rsid w:val="005D5C7E"/>
    <w:pPr>
      <w:numPr>
        <w:ilvl w:val="7"/>
        <w:numId w:val="1"/>
      </w:numPr>
    </w:pPr>
    <w:rPr>
      <w:rFonts w:cs="Arial"/>
    </w:rPr>
  </w:style>
  <w:style w:type="paragraph" w:customStyle="1" w:styleId="GenL9">
    <w:name w:val="Gen L9"/>
    <w:aliases w:val="G9"/>
    <w:basedOn w:val="Normal"/>
    <w:rsid w:val="005D5C7E"/>
    <w:pPr>
      <w:numPr>
        <w:ilvl w:val="8"/>
        <w:numId w:val="1"/>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 Jidani</dc:creator>
  <cp:lastModifiedBy>Varun Jidani</cp:lastModifiedBy>
  <cp:revision>1</cp:revision>
  <dcterms:created xsi:type="dcterms:W3CDTF">2014-01-16T20:20:00Z</dcterms:created>
  <dcterms:modified xsi:type="dcterms:W3CDTF">2014-01-16T20:20:00Z</dcterms:modified>
</cp:coreProperties>
</file>